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4492AE">
      <w:pPr>
        <w:spacing w:line="720" w:lineRule="auto"/>
        <w:jc w:val="center"/>
        <w:rPr>
          <w:rFonts w:ascii="黑体" w:eastAsia="黑体" w:hAnsiTheme="majorEastAsia"/>
          <w:b/>
          <w:color w:val="000000" w:themeColor="text1"/>
          <w:sz w:val="28"/>
          <w:szCs w:val="28"/>
          <w14:textFill>
            <w14:solidFill>
              <w14:schemeClr w14:val="tx1"/>
            </w14:solidFill>
          </w14:textFill>
        </w:rPr>
      </w:pPr>
      <w:r>
        <w:rPr>
          <w:rFonts w:hint="eastAsia" w:ascii="黑体" w:eastAsia="黑体" w:hAnsiTheme="majorEastAsia"/>
          <w:b/>
          <w:color w:val="000000" w:themeColor="text1"/>
          <w:sz w:val="28"/>
          <w:szCs w:val="28"/>
          <w14:textFill>
            <w14:solidFill>
              <w14:schemeClr w14:val="tx1"/>
            </w14:solidFill>
          </w14:textFill>
        </w:rPr>
        <w:t>机构投资者风险测评问卷</w:t>
      </w:r>
    </w:p>
    <w:p w14:paraId="3FBC0C08">
      <w:pPr>
        <w:widowControl/>
        <w:spacing w:line="360" w:lineRule="auto"/>
        <w:jc w:val="left"/>
        <w:rPr>
          <w:rFonts w:cs="宋体" w:asciiTheme="minorEastAsia" w:hAnsiTheme="minorEastAsia"/>
          <w:b/>
          <w:bCs/>
          <w:color w:val="000000" w:themeColor="text1"/>
          <w:kern w:val="0"/>
          <w:szCs w:val="21"/>
          <w14:textFill>
            <w14:solidFill>
              <w14:schemeClr w14:val="tx1"/>
            </w14:solidFill>
          </w14:textFill>
        </w:rPr>
      </w:pPr>
      <w:r>
        <w:rPr>
          <w:rFonts w:hint="eastAsia" w:cs="宋体" w:asciiTheme="minorEastAsia" w:hAnsiTheme="minorEastAsia"/>
          <w:b/>
          <w:bCs/>
          <w:color w:val="000000" w:themeColor="text1"/>
          <w:kern w:val="0"/>
          <w:szCs w:val="21"/>
          <w14:textFill>
            <w14:solidFill>
              <w14:schemeClr w14:val="tx1"/>
            </w14:solidFill>
          </w14:textFill>
        </w:rPr>
        <w:t>投资者全称：</w:t>
      </w:r>
      <w:r>
        <w:rPr>
          <w:rFonts w:ascii="Times New Roman" w:eastAsia="Times New Roman"/>
          <w:sz w:val="18"/>
          <w:u w:val="single"/>
        </w:rPr>
        <w:t xml:space="preserve"> </w:t>
      </w:r>
      <w:r>
        <w:rPr>
          <w:rFonts w:ascii="Times New Roman" w:eastAsia="Times New Roman"/>
          <w:sz w:val="18"/>
          <w:u w:val="single"/>
        </w:rPr>
        <w:tab/>
      </w:r>
      <w:r>
        <w:rPr>
          <w:rFonts w:hint="eastAsia" w:ascii="Times New Roman" w:eastAsia="宋体"/>
          <w:sz w:val="18"/>
          <w:u w:val="single"/>
          <w:lang w:val="en-US" w:eastAsia="zh-CN"/>
        </w:rPr>
        <w:t xml:space="preserve">                                </w:t>
      </w:r>
      <w:r>
        <w:rPr>
          <w:rFonts w:hint="eastAsia" w:cs="宋体" w:asciiTheme="minorEastAsia" w:hAnsiTheme="minorEastAsia"/>
          <w:bCs/>
          <w:color w:val="000000" w:themeColor="text1"/>
          <w:kern w:val="0"/>
          <w:szCs w:val="21"/>
          <w14:textFill>
            <w14:solidFill>
              <w14:schemeClr w14:val="tx1"/>
            </w14:solidFill>
          </w14:textFill>
        </w:rPr>
        <w:t xml:space="preserve">   </w:t>
      </w:r>
      <w:r>
        <w:rPr>
          <w:rFonts w:hint="eastAsia" w:cs="宋体" w:asciiTheme="minorEastAsia" w:hAnsiTheme="minorEastAsia"/>
          <w:b/>
          <w:bCs/>
          <w:color w:val="000000" w:themeColor="text1"/>
          <w:kern w:val="0"/>
          <w:szCs w:val="21"/>
          <w14:textFill>
            <w14:solidFill>
              <w14:schemeClr w14:val="tx1"/>
            </w14:solidFill>
          </w14:textFill>
        </w:rPr>
        <w:t>填写日期：</w:t>
      </w:r>
      <w:r>
        <w:rPr>
          <w:rFonts w:ascii="Times New Roman" w:eastAsia="Times New Roman"/>
          <w:sz w:val="18"/>
          <w:u w:val="single"/>
        </w:rPr>
        <w:t xml:space="preserve"> </w:t>
      </w:r>
      <w:r>
        <w:rPr>
          <w:rFonts w:ascii="Times New Roman" w:eastAsia="Times New Roman"/>
          <w:sz w:val="18"/>
          <w:u w:val="single"/>
        </w:rPr>
        <w:tab/>
      </w:r>
      <w:r>
        <w:rPr>
          <w:rFonts w:hint="eastAsia" w:ascii="Times New Roman" w:eastAsia="宋体"/>
          <w:sz w:val="18"/>
          <w:u w:val="single"/>
          <w:lang w:val="en-US" w:eastAsia="zh-CN"/>
        </w:rPr>
        <w:t xml:space="preserve"> </w:t>
      </w:r>
      <w:r>
        <w:rPr>
          <w:rFonts w:hint="eastAsia" w:cs="宋体" w:asciiTheme="minorEastAsia" w:hAnsiTheme="minorEastAsia"/>
          <w:b/>
          <w:bCs/>
          <w:color w:val="000000" w:themeColor="text1"/>
          <w:kern w:val="0"/>
          <w:szCs w:val="21"/>
          <w14:textFill>
            <w14:solidFill>
              <w14:schemeClr w14:val="tx1"/>
            </w14:solidFill>
          </w14:textFill>
        </w:rPr>
        <w:t>年</w:t>
      </w:r>
      <w:r>
        <w:rPr>
          <w:rFonts w:ascii="Times New Roman" w:eastAsia="Times New Roman"/>
          <w:sz w:val="18"/>
          <w:u w:val="single"/>
        </w:rPr>
        <w:t xml:space="preserve"> </w:t>
      </w:r>
      <w:r>
        <w:rPr>
          <w:rFonts w:hint="eastAsia" w:ascii="Times New Roman" w:eastAsia="宋体"/>
          <w:sz w:val="18"/>
          <w:u w:val="single"/>
          <w:lang w:val="en-US" w:eastAsia="zh-CN"/>
        </w:rPr>
        <w:t xml:space="preserve">   </w:t>
      </w:r>
      <w:r>
        <w:rPr>
          <w:rFonts w:hint="eastAsia" w:cs="宋体" w:asciiTheme="minorEastAsia" w:hAnsiTheme="minorEastAsia"/>
          <w:b/>
          <w:bCs/>
          <w:color w:val="000000" w:themeColor="text1"/>
          <w:kern w:val="0"/>
          <w:szCs w:val="21"/>
          <w14:textFill>
            <w14:solidFill>
              <w14:schemeClr w14:val="tx1"/>
            </w14:solidFill>
          </w14:textFill>
        </w:rPr>
        <w:t>月</w:t>
      </w:r>
      <w:r>
        <w:rPr>
          <w:rFonts w:ascii="Times New Roman" w:eastAsia="Times New Roman"/>
          <w:sz w:val="18"/>
          <w:u w:val="single"/>
        </w:rPr>
        <w:t xml:space="preserve"> </w:t>
      </w:r>
      <w:r>
        <w:rPr>
          <w:rFonts w:ascii="Times New Roman" w:eastAsia="Times New Roman"/>
          <w:sz w:val="18"/>
          <w:u w:val="single"/>
        </w:rPr>
        <w:tab/>
      </w:r>
      <w:bookmarkStart w:id="0" w:name="_GoBack"/>
      <w:bookmarkEnd w:id="0"/>
      <w:r>
        <w:rPr>
          <w:rFonts w:hint="eastAsia" w:ascii="Times New Roman" w:eastAsia="宋体"/>
          <w:sz w:val="18"/>
          <w:u w:val="single"/>
          <w:lang w:val="en-US" w:eastAsia="zh-CN"/>
        </w:rPr>
        <w:t xml:space="preserve"> </w:t>
      </w:r>
      <w:r>
        <w:rPr>
          <w:rFonts w:hint="eastAsia" w:cs="宋体" w:asciiTheme="minorEastAsia" w:hAnsiTheme="minorEastAsia"/>
          <w:b/>
          <w:bCs/>
          <w:color w:val="000000" w:themeColor="text1"/>
          <w:kern w:val="0"/>
          <w:szCs w:val="21"/>
          <w14:textFill>
            <w14:solidFill>
              <w14:schemeClr w14:val="tx1"/>
            </w14:solidFill>
          </w14:textFill>
        </w:rPr>
        <w:t>日</w:t>
      </w:r>
    </w:p>
    <w:p w14:paraId="2C265B42">
      <w:pPr>
        <w:widowControl/>
        <w:spacing w:line="360" w:lineRule="auto"/>
        <w:ind w:firstLine="420" w:firstLineChars="200"/>
        <w:jc w:val="left"/>
        <w:rPr>
          <w:rFonts w:cs="宋体" w:asciiTheme="minorEastAsia" w:hAnsiTheme="minorEastAsia"/>
          <w:bCs/>
          <w:color w:val="000000" w:themeColor="text1"/>
          <w:kern w:val="0"/>
          <w:szCs w:val="21"/>
          <w14:textFill>
            <w14:solidFill>
              <w14:schemeClr w14:val="tx1"/>
            </w14:solidFill>
          </w14:textFill>
        </w:rPr>
      </w:pPr>
      <w:r>
        <w:rPr>
          <w:rFonts w:hint="eastAsia" w:cs="宋体" w:asciiTheme="minorEastAsia" w:hAnsiTheme="minorEastAsia"/>
          <w:bCs/>
          <w:color w:val="000000" w:themeColor="text1"/>
          <w:kern w:val="0"/>
          <w:szCs w:val="21"/>
          <w14:textFill>
            <w14:solidFill>
              <w14:schemeClr w14:val="tx1"/>
            </w14:solidFill>
          </w14:textFill>
        </w:rPr>
        <w:t>本问卷旨在了解贵单位可承受的风险程度等情况，借此协助贵单位选择合适的金融产品或金融服务类别，以符合贵单位的风险承受能力。</w:t>
      </w:r>
    </w:p>
    <w:p w14:paraId="5687D056">
      <w:pPr>
        <w:widowControl/>
        <w:spacing w:line="360" w:lineRule="auto"/>
        <w:ind w:firstLine="420" w:firstLineChars="200"/>
        <w:jc w:val="left"/>
        <w:rPr>
          <w:rFonts w:cs="宋体" w:asciiTheme="minorEastAsia" w:hAnsiTheme="minorEastAsia"/>
          <w:bCs/>
          <w:color w:val="000000" w:themeColor="text1"/>
          <w:kern w:val="0"/>
          <w:szCs w:val="21"/>
          <w14:textFill>
            <w14:solidFill>
              <w14:schemeClr w14:val="tx1"/>
            </w14:solidFill>
          </w14:textFill>
        </w:rPr>
      </w:pPr>
      <w:r>
        <w:rPr>
          <w:rFonts w:hint="eastAsia" w:cs="宋体" w:asciiTheme="minorEastAsia" w:hAnsiTheme="minorEastAsia"/>
          <w:bCs/>
          <w:color w:val="000000" w:themeColor="text1"/>
          <w:kern w:val="0"/>
          <w:szCs w:val="21"/>
          <w14:textFill>
            <w14:solidFill>
              <w14:schemeClr w14:val="tx1"/>
            </w14:solidFill>
          </w14:textFill>
        </w:rPr>
        <w:t>风险承受能力评估是本公司向客户履行适当性职责的一个环节，其目的是使本公司所提供的金融产品或金融服务与贵单位的风险承受能力等级相匹配。</w:t>
      </w:r>
    </w:p>
    <w:p w14:paraId="33505985">
      <w:pPr>
        <w:widowControl/>
        <w:spacing w:line="360" w:lineRule="auto"/>
        <w:ind w:firstLine="420" w:firstLineChars="200"/>
        <w:jc w:val="left"/>
        <w:rPr>
          <w:rFonts w:cs="宋体" w:asciiTheme="minorEastAsia" w:hAnsiTheme="minorEastAsia"/>
          <w:bCs/>
          <w:color w:val="000000" w:themeColor="text1"/>
          <w:kern w:val="0"/>
          <w:szCs w:val="21"/>
          <w14:textFill>
            <w14:solidFill>
              <w14:schemeClr w14:val="tx1"/>
            </w14:solidFill>
          </w14:textFill>
        </w:rPr>
      </w:pPr>
      <w:r>
        <w:rPr>
          <w:rFonts w:hint="eastAsia" w:cs="宋体" w:asciiTheme="minorEastAsia" w:hAnsiTheme="minorEastAsia"/>
          <w:bCs/>
          <w:color w:val="000000" w:themeColor="text1"/>
          <w:kern w:val="0"/>
          <w:szCs w:val="21"/>
          <w14:textFill>
            <w14:solidFill>
              <w14:schemeClr w14:val="tx1"/>
            </w14:solidFill>
          </w14:textFill>
        </w:rPr>
        <w:t>本公司特别提醒贵单位：本公司向客户履行风险承受能力评估适当性职责，并不能取代贵单位自己的投资判断，也不会降低金融产品或金融服务的固有风险。同时，与金融产品或金融服务相关的投资风险、履约责任以及费用等将由贵单位自行承担。</w:t>
      </w:r>
    </w:p>
    <w:p w14:paraId="2C871AD6">
      <w:pPr>
        <w:widowControl/>
        <w:spacing w:line="360" w:lineRule="auto"/>
        <w:ind w:firstLine="420" w:firstLineChars="200"/>
        <w:jc w:val="left"/>
        <w:rPr>
          <w:rFonts w:cs="宋体" w:asciiTheme="minorEastAsia" w:hAnsiTheme="minorEastAsia"/>
          <w:bCs/>
          <w:color w:val="000000" w:themeColor="text1"/>
          <w:kern w:val="0"/>
          <w:szCs w:val="21"/>
          <w14:textFill>
            <w14:solidFill>
              <w14:schemeClr w14:val="tx1"/>
            </w14:solidFill>
          </w14:textFill>
        </w:rPr>
      </w:pPr>
      <w:r>
        <w:rPr>
          <w:rFonts w:hint="eastAsia" w:cs="宋体" w:asciiTheme="minorEastAsia" w:hAnsiTheme="minorEastAsia"/>
          <w:bCs/>
          <w:color w:val="000000" w:themeColor="text1"/>
          <w:kern w:val="0"/>
          <w:szCs w:val="21"/>
          <w14:textFill>
            <w14:solidFill>
              <w14:schemeClr w14:val="tx1"/>
            </w14:solidFill>
          </w14:textFill>
        </w:rPr>
        <w:t>本公司提示贵单位：本公司根据贵单位提供的信息对贵单位进行风险承受能力评估，开展适当性工作。贵单位应当如实提供相关信息及证明材料，并对所提供的信息和证明材料的真实性、准确性、完整性负责。</w:t>
      </w:r>
    </w:p>
    <w:p w14:paraId="561D3D36">
      <w:pPr>
        <w:widowControl/>
        <w:spacing w:line="360" w:lineRule="auto"/>
        <w:ind w:firstLine="420" w:firstLineChars="200"/>
        <w:jc w:val="left"/>
        <w:rPr>
          <w:rFonts w:cs="宋体" w:asciiTheme="minorEastAsia" w:hAnsiTheme="minorEastAsia"/>
          <w:bCs/>
          <w:color w:val="000000" w:themeColor="text1"/>
          <w:kern w:val="0"/>
          <w:szCs w:val="21"/>
          <w14:textFill>
            <w14:solidFill>
              <w14:schemeClr w14:val="tx1"/>
            </w14:solidFill>
          </w14:textFill>
        </w:rPr>
      </w:pPr>
      <w:r>
        <w:rPr>
          <w:rFonts w:hint="eastAsia" w:cs="宋体" w:asciiTheme="minorEastAsia" w:hAnsiTheme="minorEastAsia"/>
          <w:bCs/>
          <w:color w:val="000000" w:themeColor="text1"/>
          <w:kern w:val="0"/>
          <w:szCs w:val="21"/>
          <w14:textFill>
            <w14:solidFill>
              <w14:schemeClr w14:val="tx1"/>
            </w14:solidFill>
          </w14:textFill>
        </w:rPr>
        <w:t>本公司建议：当贵单位的各项状况发生重大变化时，需对贵单位所投资的金融产品及时进行重新审视，以确保贵单位的投资决定与贵单位可承受的投资风险程度等实际情况一致。</w:t>
      </w:r>
    </w:p>
    <w:p w14:paraId="3AC226AC">
      <w:pPr>
        <w:widowControl/>
        <w:spacing w:line="360" w:lineRule="auto"/>
        <w:ind w:firstLine="420" w:firstLineChars="200"/>
        <w:jc w:val="left"/>
        <w:rPr>
          <w:rFonts w:cs="宋体" w:asciiTheme="minorEastAsia" w:hAnsiTheme="minorEastAsia"/>
          <w:bCs/>
          <w:color w:val="000000" w:themeColor="text1"/>
          <w:kern w:val="0"/>
          <w:szCs w:val="21"/>
          <w14:textFill>
            <w14:solidFill>
              <w14:schemeClr w14:val="tx1"/>
            </w14:solidFill>
          </w14:textFill>
        </w:rPr>
      </w:pPr>
      <w:r>
        <w:rPr>
          <w:rFonts w:hint="eastAsia" w:cs="宋体" w:asciiTheme="minorEastAsia" w:hAnsiTheme="minorEastAsia"/>
          <w:bCs/>
          <w:color w:val="000000" w:themeColor="text1"/>
          <w:kern w:val="0"/>
          <w:szCs w:val="21"/>
          <w14:textFill>
            <w14:solidFill>
              <w14:schemeClr w14:val="tx1"/>
            </w14:solidFill>
          </w14:textFill>
        </w:rPr>
        <w:t>本公司在此承诺，对于贵单位在本问卷中所提供的一切信息，本公司将严格按照法律法规要求承担保密义务。除法律法规规定的有权机关依法程序进行查询以外，本公司保证不会将涉及贵单位的任何信息提供、泄露给任何第三方，或者将相关信息用于违法、不当用途。</w:t>
      </w:r>
    </w:p>
    <w:p w14:paraId="45525718">
      <w:pPr>
        <w:rPr>
          <w:color w:val="000000" w:themeColor="text1"/>
          <w14:textFill>
            <w14:solidFill>
              <w14:schemeClr w14:val="tx1"/>
            </w14:solidFill>
          </w14:textFill>
        </w:rPr>
      </w:pPr>
    </w:p>
    <w:p w14:paraId="02E41FEB">
      <w:pPr>
        <w:pStyle w:val="14"/>
        <w:numPr>
          <w:ilvl w:val="0"/>
          <w:numId w:val="1"/>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贵单位的性质：</w:t>
      </w:r>
    </w:p>
    <w:p w14:paraId="04A938F1">
      <w:pPr>
        <w:pStyle w:val="14"/>
        <w:numPr>
          <w:ilvl w:val="0"/>
          <w:numId w:val="2"/>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A.国有企事业单位 </w:t>
      </w:r>
      <w:r>
        <w:rPr>
          <w:rFonts w:asciiTheme="minorEastAsia" w:hAnsiTheme="minorEastAsia" w:eastAsiaTheme="minorEastAsia" w:cstheme="minorBidi"/>
          <w:color w:val="000000" w:themeColor="text1"/>
          <w:kern w:val="2"/>
          <w:sz w:val="21"/>
          <w:szCs w:val="22"/>
          <w14:textFill>
            <w14:solidFill>
              <w14:schemeClr w14:val="tx1"/>
            </w14:solidFill>
          </w14:textFill>
        </w:rPr>
        <w:t xml:space="preserve">   </w:t>
      </w: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w:t>
      </w:r>
    </w:p>
    <w:p w14:paraId="6AFA1C5D">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w:t>
      </w: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w:t>
      </w: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非上市民营企业       </w:t>
      </w:r>
    </w:p>
    <w:p w14:paraId="181F1011">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C.外资企业、合资企业   </w:t>
      </w:r>
    </w:p>
    <w:p w14:paraId="7AB82348">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D.上市公司             </w:t>
      </w:r>
    </w:p>
    <w:p w14:paraId="052E6976">
      <w:pPr>
        <w:pStyle w:val="14"/>
        <w:numPr>
          <w:ilvl w:val="0"/>
          <w:numId w:val="1"/>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贵单位的净资产规模为：</w:t>
      </w:r>
    </w:p>
    <w:p w14:paraId="60908159">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A.500万元以下          </w:t>
      </w:r>
    </w:p>
    <w:p w14:paraId="22BF16FD">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B.500万元-2000万元     </w:t>
      </w:r>
    </w:p>
    <w:p w14:paraId="17E1B1B8">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C.2000万元-1亿元       </w:t>
      </w:r>
    </w:p>
    <w:p w14:paraId="486B9019">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D.超过1亿元            </w:t>
      </w:r>
    </w:p>
    <w:p w14:paraId="6183E805">
      <w:pPr>
        <w:pStyle w:val="14"/>
        <w:numPr>
          <w:ilvl w:val="0"/>
          <w:numId w:val="1"/>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贵单位年营业收入为：</w:t>
      </w:r>
    </w:p>
    <w:p w14:paraId="1C68F8F6">
      <w:pPr>
        <w:pStyle w:val="14"/>
        <w:numPr>
          <w:ilvl w:val="0"/>
          <w:numId w:val="2"/>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A.500万元以下          </w:t>
      </w:r>
    </w:p>
    <w:p w14:paraId="0223B37D">
      <w:pPr>
        <w:pStyle w:val="14"/>
        <w:numPr>
          <w:ilvl w:val="0"/>
          <w:numId w:val="2"/>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B.500万元-2000万元     </w:t>
      </w:r>
    </w:p>
    <w:p w14:paraId="2EA965C7">
      <w:pPr>
        <w:pStyle w:val="14"/>
        <w:numPr>
          <w:ilvl w:val="0"/>
          <w:numId w:val="2"/>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w:t>
      </w:r>
      <w:r>
        <w:rPr>
          <w:rFonts w:asciiTheme="minorEastAsia" w:hAnsiTheme="minorEastAsia" w:eastAsiaTheme="minorEastAsia" w:cstheme="minorBidi"/>
          <w:color w:val="000000" w:themeColor="text1"/>
          <w:kern w:val="2"/>
          <w:sz w:val="21"/>
          <w:szCs w:val="22"/>
          <w14:textFill>
            <w14:solidFill>
              <w14:schemeClr w14:val="tx1"/>
            </w14:solidFill>
          </w14:textFill>
        </w:rPr>
        <w:t>C</w:t>
      </w: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.2000万元-1亿元       </w:t>
      </w:r>
    </w:p>
    <w:p w14:paraId="33B252F2">
      <w:pPr>
        <w:pStyle w:val="14"/>
        <w:numPr>
          <w:ilvl w:val="0"/>
          <w:numId w:val="2"/>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D.超过1亿元            </w:t>
      </w:r>
    </w:p>
    <w:p w14:paraId="5B24DB9D">
      <w:pPr>
        <w:pStyle w:val="14"/>
        <w:numPr>
          <w:ilvl w:val="0"/>
          <w:numId w:val="1"/>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贵单位证券账户资产为：</w:t>
      </w:r>
    </w:p>
    <w:p w14:paraId="3009FDBD">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A.300万元以内         </w:t>
      </w:r>
    </w:p>
    <w:p w14:paraId="0A57FE20">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B.300万元-1000万元    </w:t>
      </w:r>
    </w:p>
    <w:p w14:paraId="6CBCC985">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w:t>
      </w:r>
      <w:r>
        <w:rPr>
          <w:rFonts w:asciiTheme="minorEastAsia" w:hAnsiTheme="minorEastAsia" w:eastAsiaTheme="minorEastAsia" w:cstheme="minorBidi"/>
          <w:color w:val="000000" w:themeColor="text1"/>
          <w:kern w:val="2"/>
          <w:sz w:val="21"/>
          <w:szCs w:val="22"/>
          <w14:textFill>
            <w14:solidFill>
              <w14:schemeClr w14:val="tx1"/>
            </w14:solidFill>
          </w14:textFill>
        </w:rPr>
        <w:t>C</w:t>
      </w: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.1000万元-3000万元   </w:t>
      </w:r>
    </w:p>
    <w:p w14:paraId="218BE07D">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D.超过3000万元        </w:t>
      </w:r>
    </w:p>
    <w:p w14:paraId="0E2FE7EA">
      <w:pPr>
        <w:pStyle w:val="14"/>
        <w:numPr>
          <w:ilvl w:val="0"/>
          <w:numId w:val="1"/>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贵单位是否有尚未清偿的数额较大的债务？如有，主要是：</w:t>
      </w:r>
    </w:p>
    <w:p w14:paraId="5EE0C0F1">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A.民间借贷                              </w:t>
      </w:r>
    </w:p>
    <w:p w14:paraId="6F56BB95">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B.通过担保公司等中介机构募集的借款      </w:t>
      </w:r>
    </w:p>
    <w:p w14:paraId="6D6741C1">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C.公司债券或企业债券                    </w:t>
      </w:r>
    </w:p>
    <w:p w14:paraId="2D52886B">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D.银行贷款 </w:t>
      </w:r>
      <w:r>
        <w:rPr>
          <w:rFonts w:asciiTheme="minorEastAsia" w:hAnsiTheme="minorEastAsia" w:eastAsiaTheme="minorEastAsia" w:cstheme="minorBidi"/>
          <w:color w:val="000000" w:themeColor="text1"/>
          <w:kern w:val="2"/>
          <w:sz w:val="21"/>
          <w:szCs w:val="22"/>
          <w14:textFill>
            <w14:solidFill>
              <w14:schemeClr w14:val="tx1"/>
            </w14:solidFill>
          </w14:textFill>
        </w:rPr>
        <w:t xml:space="preserve">                              </w:t>
      </w:r>
    </w:p>
    <w:p w14:paraId="52483BB9">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E.没有数额较大的债务                    </w:t>
      </w:r>
    </w:p>
    <w:p w14:paraId="382813A8">
      <w:pPr>
        <w:pStyle w:val="14"/>
        <w:numPr>
          <w:ilvl w:val="0"/>
          <w:numId w:val="1"/>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对于金融产品投资工作，贵单位打算配置怎样的人员力量：</w:t>
      </w:r>
    </w:p>
    <w:p w14:paraId="7486D9A3">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A.一名兼职人员（包括负责人自行决策）        </w:t>
      </w:r>
    </w:p>
    <w:p w14:paraId="74583899">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B.一名专职人员                              </w:t>
      </w:r>
    </w:p>
    <w:p w14:paraId="7780457B">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C.多名兼职或专职人员，相互之间分工不明确    </w:t>
      </w:r>
    </w:p>
    <w:p w14:paraId="0EF68249">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D.多名兼职或专职人员，相互之间有明确分工    </w:t>
      </w:r>
    </w:p>
    <w:p w14:paraId="21F0F513">
      <w:pPr>
        <w:pStyle w:val="14"/>
        <w:numPr>
          <w:ilvl w:val="0"/>
          <w:numId w:val="1"/>
        </w:numPr>
        <w:rPr>
          <w:rFonts w:cs="Times New Roman" w:asciiTheme="minorEastAsia" w:hAnsiTheme="minorEastAsia" w:eastAsiaTheme="minorEastAsia"/>
          <w:b/>
          <w:kern w:val="2"/>
          <w:sz w:val="21"/>
          <w:szCs w:val="22"/>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贵单位所配置的负责金融产品投资工作的人员是否符合以下情况：</w:t>
      </w:r>
    </w:p>
    <w:p w14:paraId="33F6A97A">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A.本单位所配置的人员不符合以下任何一项描述                             </w:t>
      </w:r>
    </w:p>
    <w:p w14:paraId="18D0836A">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B.已取得金融、经济或财会等金融产品投资相关专业学士以上学位             </w:t>
      </w:r>
    </w:p>
    <w:p w14:paraId="124E4809">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C.取得证券从业资格、期货从业资格、注册会计师证书（CPA）或注册金融分析师证书（CFA）中的一项及以上                                                   </w:t>
      </w:r>
    </w:p>
    <w:p w14:paraId="602E4288">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D.现在或此前曾从事金融、经济或财会等与金融产品投资相关的工作超过两年   </w:t>
      </w:r>
    </w:p>
    <w:p w14:paraId="69BB3D43">
      <w:pPr>
        <w:pStyle w:val="14"/>
        <w:numPr>
          <w:ilvl w:val="0"/>
          <w:numId w:val="1"/>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贵单位是否建立了金融产品投资相关的管理制度：</w:t>
      </w:r>
    </w:p>
    <w:p w14:paraId="4F2A15B8">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A.没有。因为要保证操作的灵活性                                         </w:t>
      </w:r>
    </w:p>
    <w:p w14:paraId="1C9020A4">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B.已建立。包括了分工和授权的要求，但未包括投资风险控制的规则           </w:t>
      </w:r>
    </w:p>
    <w:p w14:paraId="60410386">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w:t>
      </w:r>
      <w:r>
        <w:rPr>
          <w:rFonts w:asciiTheme="minorEastAsia" w:hAnsiTheme="minorEastAsia" w:eastAsiaTheme="minorEastAsia" w:cstheme="minorBidi"/>
          <w:color w:val="000000" w:themeColor="text1"/>
          <w:kern w:val="2"/>
          <w:sz w:val="21"/>
          <w:szCs w:val="22"/>
          <w14:textFill>
            <w14:solidFill>
              <w14:schemeClr w14:val="tx1"/>
            </w14:solidFill>
          </w14:textFill>
        </w:rPr>
        <w:t>C</w:t>
      </w: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.已建立、包括了分工与授权、风险控制等一系列与金融产品投资有关的规则   </w:t>
      </w:r>
    </w:p>
    <w:p w14:paraId="3931249D">
      <w:pPr>
        <w:pStyle w:val="14"/>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9、贵单位的投资经验可以被概括为：</w:t>
      </w:r>
    </w:p>
    <w:p w14:paraId="2D567B52">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A.有限：除银行活期账户和定期存款外，基本没有其他投资经验               </w:t>
      </w:r>
    </w:p>
    <w:p w14:paraId="69C5BBEC">
      <w:pPr>
        <w:pStyle w:val="14"/>
        <w:ind w:left="420" w:hanging="420" w:hangingChars="200"/>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B.一般：除银行活期账户和定期存款外，购买过基金、保险等理财产品，但还需要进一步的指导                                                               </w:t>
      </w:r>
    </w:p>
    <w:p w14:paraId="61C74358">
      <w:pPr>
        <w:pStyle w:val="14"/>
        <w:ind w:left="420" w:hanging="420" w:hangingChars="200"/>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C.丰富：本单位具有相当投资经验、参与过股票、基金等产品的交易，并倾向于自己做出投资决策                                                             </w:t>
      </w:r>
    </w:p>
    <w:p w14:paraId="346F756A">
      <w:pPr>
        <w:pStyle w:val="14"/>
        <w:ind w:left="420" w:hanging="420" w:hangingChars="200"/>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D非常丰富：本单位对于投资非常有经验，参与过权证、期货或创业板等高风险产品的交易                                                                   </w:t>
      </w:r>
    </w:p>
    <w:p w14:paraId="32F8334F">
      <w:pPr>
        <w:pStyle w:val="14"/>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10、有一位投资者一个月内做了15笔交易（同一品种买卖各一次算一笔），贵单位认为这样的交易频率：</w:t>
      </w:r>
    </w:p>
    <w:p w14:paraId="76D52255">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A.太高了    </w:t>
      </w:r>
    </w:p>
    <w:p w14:paraId="6992FF67">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B.偏高      </w:t>
      </w:r>
    </w:p>
    <w:p w14:paraId="475CFB3E">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C.正常      </w:t>
      </w:r>
    </w:p>
    <w:p w14:paraId="551F57C8">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D.偏低      </w:t>
      </w:r>
    </w:p>
    <w:p w14:paraId="2E7780D4">
      <w:pPr>
        <w:pStyle w:val="14"/>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11、过去一年时间内，您购买的不同金融产品（含同一类型的不同金融产品）的数量是：</w:t>
      </w:r>
    </w:p>
    <w:p w14:paraId="39961171">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A.5个以下     </w:t>
      </w:r>
    </w:p>
    <w:p w14:paraId="4D280061">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B.6至10个     </w:t>
      </w:r>
    </w:p>
    <w:p w14:paraId="12A36B66">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C.11至15个    </w:t>
      </w:r>
    </w:p>
    <w:p w14:paraId="225BD996">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D.16个以上    </w:t>
      </w:r>
    </w:p>
    <w:p w14:paraId="38B70571">
      <w:pPr>
        <w:pStyle w:val="14"/>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12、以下金融产品，贵单位投资经验在两年以上的有：</w:t>
      </w:r>
    </w:p>
    <w:p w14:paraId="6058917F">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A.银行存款                                                </w:t>
      </w:r>
      <w:r>
        <w:rPr>
          <w:rFonts w:asciiTheme="minorEastAsia" w:hAnsiTheme="minorEastAsia" w:eastAsiaTheme="minorEastAsia" w:cstheme="minorBidi"/>
          <w:color w:val="000000" w:themeColor="text1"/>
          <w:kern w:val="2"/>
          <w:sz w:val="21"/>
          <w:szCs w:val="22"/>
          <w14:textFill>
            <w14:solidFill>
              <w14:schemeClr w14:val="tx1"/>
            </w14:solidFill>
          </w14:textFill>
        </w:rPr>
        <w:t xml:space="preserve">   </w:t>
      </w: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w:t>
      </w:r>
    </w:p>
    <w:p w14:paraId="40D29FFC">
      <w:pPr>
        <w:pStyle w:val="14"/>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B.债券、货币市场基金、债券型基金或其它固定收益类产品      </w:t>
      </w:r>
      <w:r>
        <w:rPr>
          <w:rFonts w:asciiTheme="minorEastAsia" w:hAnsiTheme="minorEastAsia" w:eastAsiaTheme="minorEastAsia" w:cstheme="minorBidi"/>
          <w:color w:val="000000" w:themeColor="text1"/>
          <w:kern w:val="2"/>
          <w:sz w:val="21"/>
          <w:szCs w:val="22"/>
          <w14:textFill>
            <w14:solidFill>
              <w14:schemeClr w14:val="tx1"/>
            </w14:solidFill>
          </w14:textFill>
        </w:rPr>
        <w:t xml:space="preserve">   </w:t>
      </w:r>
    </w:p>
    <w:p w14:paraId="6B506122">
      <w:pPr>
        <w:pStyle w:val="14"/>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C.股票、混合型基金、偏股型基金、股票型基金等权益类投资品种    </w:t>
      </w:r>
    </w:p>
    <w:p w14:paraId="05AB4659">
      <w:pPr>
        <w:pStyle w:val="14"/>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D.期货、融资融券                                              </w:t>
      </w:r>
    </w:p>
    <w:p w14:paraId="16B67484">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E.复杂金融产品或其他产品                                      </w:t>
      </w:r>
    </w:p>
    <w:p w14:paraId="70A0978F">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（注：本题可多选，但评分以其中最高分值选项为准）</w:t>
      </w:r>
    </w:p>
    <w:p w14:paraId="5BE33E36">
      <w:pPr>
        <w:jc w:val="left"/>
        <w:rPr>
          <w:rFonts w:asciiTheme="minorEastAsia" w:hAnsiTheme="minorEastAsia"/>
          <w:b/>
        </w:rPr>
      </w:pPr>
      <w:r>
        <w:rPr>
          <w:rFonts w:hint="eastAsia" w:asciiTheme="minorEastAsia" w:hAnsiTheme="minorEastAsia"/>
          <w:b/>
        </w:rPr>
        <w:t>13、如果贵单位曾经从事过金融产品投资，在交易较为活跃的月份，平均月交易额大概是多少：</w:t>
      </w:r>
    </w:p>
    <w:p w14:paraId="37D681CC">
      <w:pPr>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A．</w:t>
      </w:r>
      <w:r>
        <w:rPr>
          <w:rFonts w:hint="eastAsia" w:asciiTheme="minorEastAsia" w:hAnsiTheme="minorEastAsia"/>
          <w:color w:val="000000" w:themeColor="text1"/>
          <w14:textFill>
            <w14:solidFill>
              <w14:schemeClr w14:val="tx1"/>
            </w14:solidFill>
          </w14:textFill>
        </w:rPr>
        <w:t xml:space="preserve">从未投资过金融产品           </w:t>
      </w:r>
    </w:p>
    <w:p w14:paraId="3B3E4354">
      <w:pPr>
        <w:jc w:val="left"/>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B．</w:t>
      </w:r>
      <w:r>
        <w:rPr>
          <w:rFonts w:hint="eastAsia" w:asciiTheme="minorEastAsia" w:hAnsiTheme="minorEastAsia"/>
          <w:color w:val="000000" w:themeColor="text1"/>
          <w14:textFill>
            <w14:solidFill>
              <w14:schemeClr w14:val="tx1"/>
            </w14:solidFill>
          </w14:textFill>
        </w:rPr>
        <w:t xml:space="preserve">100万元以内                </w:t>
      </w:r>
      <w:r>
        <w:rPr>
          <w:rFonts w:hint="eastAsia" w:asciiTheme="minorEastAsia" w:hAnsiTheme="minorEastAsia"/>
          <w:color w:val="000000" w:themeColor="text1"/>
          <w14:textFill>
            <w14:solidFill>
              <w14:schemeClr w14:val="tx1"/>
            </w14:solidFill>
          </w14:textFill>
        </w:rPr>
        <w:tab/>
      </w:r>
    </w:p>
    <w:p w14:paraId="5EA9CDA6">
      <w:pPr>
        <w:jc w:val="left"/>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C. </w:t>
      </w:r>
      <w:r>
        <w:rPr>
          <w:rFonts w:hint="eastAsia" w:asciiTheme="minorEastAsia" w:hAnsiTheme="minorEastAsia"/>
          <w:color w:val="000000" w:themeColor="text1"/>
          <w14:textFill>
            <w14:solidFill>
              <w14:schemeClr w14:val="tx1"/>
            </w14:solidFill>
          </w14:textFill>
        </w:rPr>
        <w:t>100万元</w:t>
      </w:r>
      <w:r>
        <w:rPr>
          <w:rFonts w:asciiTheme="minorEastAsia" w:hAnsiTheme="minorEastAsia"/>
        </w:rPr>
        <w:t>-</w:t>
      </w:r>
      <w:r>
        <w:rPr>
          <w:rFonts w:hint="eastAsia" w:asciiTheme="minorEastAsia" w:hAnsiTheme="minorEastAsia"/>
          <w:color w:val="000000" w:themeColor="text1"/>
          <w14:textFill>
            <w14:solidFill>
              <w14:schemeClr w14:val="tx1"/>
            </w14:solidFill>
          </w14:textFill>
        </w:rPr>
        <w:t xml:space="preserve">300万元            </w:t>
      </w:r>
      <w:r>
        <w:rPr>
          <w:rFonts w:hint="eastAsia" w:asciiTheme="minorEastAsia" w:hAnsiTheme="minorEastAsia"/>
          <w:color w:val="000000" w:themeColor="text1"/>
          <w14:textFill>
            <w14:solidFill>
              <w14:schemeClr w14:val="tx1"/>
            </w14:solidFill>
          </w14:textFill>
        </w:rPr>
        <w:tab/>
      </w:r>
    </w:p>
    <w:p w14:paraId="334334DE">
      <w:pPr>
        <w:jc w:val="left"/>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D．</w:t>
      </w:r>
      <w:r>
        <w:rPr>
          <w:rFonts w:hint="eastAsia" w:asciiTheme="minorEastAsia" w:hAnsiTheme="minorEastAsia"/>
          <w:color w:val="000000" w:themeColor="text1"/>
          <w14:textFill>
            <w14:solidFill>
              <w14:schemeClr w14:val="tx1"/>
            </w14:solidFill>
          </w14:textFill>
        </w:rPr>
        <w:t>300万元</w:t>
      </w:r>
      <w:r>
        <w:rPr>
          <w:rFonts w:asciiTheme="minorEastAsia" w:hAnsiTheme="minorEastAsia"/>
        </w:rPr>
        <w:t>-</w:t>
      </w:r>
      <w:r>
        <w:rPr>
          <w:rFonts w:hint="eastAsia" w:asciiTheme="minorEastAsia" w:hAnsiTheme="minorEastAsia"/>
          <w:color w:val="000000" w:themeColor="text1"/>
          <w14:textFill>
            <w14:solidFill>
              <w14:schemeClr w14:val="tx1"/>
            </w14:solidFill>
          </w14:textFill>
        </w:rPr>
        <w:t xml:space="preserve">1000万元            </w:t>
      </w:r>
    </w:p>
    <w:p w14:paraId="34500124">
      <w:pPr>
        <w:jc w:val="left"/>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E. </w:t>
      </w:r>
      <w:r>
        <w:rPr>
          <w:rFonts w:hint="eastAsia" w:asciiTheme="minorEastAsia" w:hAnsiTheme="minorEastAsia"/>
          <w:color w:val="000000" w:themeColor="text1"/>
          <w14:textFill>
            <w14:solidFill>
              <w14:schemeClr w14:val="tx1"/>
            </w14:solidFill>
          </w14:textFill>
        </w:rPr>
        <w:t xml:space="preserve">1000万元以上               </w:t>
      </w:r>
      <w:r>
        <w:rPr>
          <w:rFonts w:hint="eastAsia" w:asciiTheme="minorEastAsia" w:hAnsiTheme="minorEastAsia"/>
          <w:color w:val="000000" w:themeColor="text1"/>
          <w14:textFill>
            <w14:solidFill>
              <w14:schemeClr w14:val="tx1"/>
            </w14:solidFill>
          </w14:textFill>
        </w:rPr>
        <w:tab/>
      </w:r>
    </w:p>
    <w:p w14:paraId="7C488968">
      <w:pPr>
        <w:rPr>
          <w:rFonts w:asciiTheme="minorEastAsia" w:hAnsiTheme="minorEastAsia"/>
          <w:b/>
        </w:rPr>
      </w:pPr>
      <w:r>
        <w:rPr>
          <w:rFonts w:hint="eastAsia" w:asciiTheme="minorEastAsia" w:hAnsiTheme="minorEastAsia"/>
          <w:b/>
          <w:bCs/>
        </w:rPr>
        <w:t>14、</w:t>
      </w:r>
      <w:r>
        <w:rPr>
          <w:rFonts w:hint="eastAsia" w:asciiTheme="minorEastAsia" w:hAnsiTheme="minorEastAsia"/>
          <w:b/>
        </w:rPr>
        <w:t>贵单位用于证券投资的大部分资金不会用作其它用途的时间段为：</w:t>
      </w:r>
    </w:p>
    <w:p w14:paraId="05CC57FE">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A．短期——0到1年              </w:t>
      </w:r>
    </w:p>
    <w:p w14:paraId="0B584C78">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B．中期——1到5年              </w:t>
      </w:r>
    </w:p>
    <w:p w14:paraId="557A5CFA">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C．长期——5年以上              </w:t>
      </w:r>
    </w:p>
    <w:p w14:paraId="524DC44D">
      <w:pPr>
        <w:rPr>
          <w:rFonts w:asciiTheme="minorEastAsia" w:hAnsiTheme="minorEastAsia"/>
          <w:b/>
        </w:rPr>
      </w:pPr>
      <w:r>
        <w:rPr>
          <w:rFonts w:hint="eastAsia" w:asciiTheme="minorEastAsia" w:hAnsiTheme="minorEastAsia"/>
          <w:b/>
          <w:bCs/>
        </w:rPr>
        <w:t>15、</w:t>
      </w:r>
      <w:r>
        <w:rPr>
          <w:rFonts w:hint="eastAsia" w:asciiTheme="minorEastAsia" w:hAnsiTheme="minorEastAsia"/>
          <w:b/>
        </w:rPr>
        <w:t>贵单位进行投资时的首要目标是：</w:t>
      </w:r>
    </w:p>
    <w:p w14:paraId="0C70A3E1">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A．资产保值，我不愿意承担任何投资风险                   </w:t>
      </w:r>
    </w:p>
    <w:p w14:paraId="584BA369">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B．尽可能保证本金安全，不在乎收益率比较低               </w:t>
      </w:r>
    </w:p>
    <w:p w14:paraId="68C8E795">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C．产生较多的收益，可以承担一定的投资风险               </w:t>
      </w:r>
    </w:p>
    <w:p w14:paraId="7E69234E">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D．实现资产大幅增长，愿意承担很大的投资风险             </w:t>
      </w:r>
    </w:p>
    <w:p w14:paraId="227C61EC">
      <w:pPr>
        <w:rPr>
          <w:rFonts w:asciiTheme="minorEastAsia" w:hAnsiTheme="minorEastAsia"/>
          <w:b/>
        </w:rPr>
      </w:pPr>
      <w:r>
        <w:rPr>
          <w:rFonts w:hint="eastAsia" w:asciiTheme="minorEastAsia" w:hAnsiTheme="minorEastAsia"/>
          <w:b/>
        </w:rPr>
        <w:t>16、贵单位打算重点投资于哪个种类的投资品种？</w:t>
      </w:r>
    </w:p>
    <w:p w14:paraId="1CB80605">
      <w:pPr>
        <w:rPr>
          <w:rFonts w:asciiTheme="minorEastAsia" w:hAnsiTheme="minorEastAsia"/>
        </w:rPr>
      </w:pPr>
      <w:r>
        <w:rPr>
          <w:rFonts w:hint="eastAsia" w:asciiTheme="minorEastAsia" w:hAnsiTheme="minorEastAsia"/>
          <w:color w:val="000000" w:themeColor="text1"/>
          <w14:textFill>
            <w14:solidFill>
              <w14:schemeClr w14:val="tx1"/>
            </w14:solidFill>
          </w14:textFill>
        </w:rPr>
        <w:t>□  A</w:t>
      </w:r>
      <w:r>
        <w:rPr>
          <w:rFonts w:hint="eastAsia" w:asciiTheme="minorEastAsia" w:hAnsiTheme="minorEastAsia"/>
        </w:rPr>
        <w:t xml:space="preserve">. 银行存款                                                    </w:t>
      </w:r>
    </w:p>
    <w:p w14:paraId="18C55482">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asciiTheme="minorEastAsia" w:hAnsiTheme="minorEastAsia"/>
        </w:rPr>
        <w:t>B</w:t>
      </w:r>
      <w:r>
        <w:rPr>
          <w:rFonts w:hint="eastAsia" w:asciiTheme="minorEastAsia" w:hAnsiTheme="minorEastAsia"/>
        </w:rPr>
        <w:t xml:space="preserve">. 债券、货币市场基金、债券基金等固定收益类投资品种            </w:t>
      </w:r>
    </w:p>
    <w:p w14:paraId="6547B46C">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asciiTheme="minorEastAsia" w:hAnsiTheme="minorEastAsia"/>
        </w:rPr>
        <w:t>C</w:t>
      </w:r>
      <w:r>
        <w:rPr>
          <w:rFonts w:hint="eastAsia" w:asciiTheme="minorEastAsia" w:hAnsiTheme="minorEastAsia"/>
        </w:rPr>
        <w:t xml:space="preserve">. 股票、混合型基金、偏股型基金、股票型基金等权益类投资品种    </w:t>
      </w:r>
    </w:p>
    <w:p w14:paraId="0AE19217">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asciiTheme="minorEastAsia" w:hAnsiTheme="minorEastAsia"/>
        </w:rPr>
        <w:t>D</w:t>
      </w:r>
      <w:r>
        <w:rPr>
          <w:rFonts w:hint="eastAsia" w:asciiTheme="minorEastAsia" w:hAnsiTheme="minorEastAsia"/>
        </w:rPr>
        <w:t xml:space="preserve">. 期货、融资融券                                              </w:t>
      </w:r>
    </w:p>
    <w:p w14:paraId="0AAE43B1">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asciiTheme="minorEastAsia" w:hAnsiTheme="minorEastAsia"/>
        </w:rPr>
        <w:t>E</w:t>
      </w:r>
      <w:r>
        <w:rPr>
          <w:rFonts w:hint="eastAsia" w:asciiTheme="minorEastAsia" w:hAnsiTheme="minorEastAsia"/>
        </w:rPr>
        <w:t xml:space="preserve">. 复杂金融产品                                                </w:t>
      </w:r>
    </w:p>
    <w:p w14:paraId="51B6F923">
      <w:pPr>
        <w:rPr>
          <w:rFonts w:asciiTheme="minorEastAsia" w:hAnsiTheme="minorEastAsia"/>
          <w:b/>
        </w:rPr>
      </w:pPr>
      <w:r>
        <w:rPr>
          <w:rFonts w:hint="eastAsia" w:asciiTheme="minorEastAsia" w:hAnsiTheme="minorEastAsia"/>
          <w:b/>
        </w:rPr>
        <w:t>17、贵单位认为自己能承受的最大投资损失是多少？</w:t>
      </w:r>
    </w:p>
    <w:p w14:paraId="7380987E">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A. 10%以内                </w:t>
      </w:r>
    </w:p>
    <w:p w14:paraId="2766FF61">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asciiTheme="minorEastAsia" w:hAnsiTheme="minorEastAsia"/>
        </w:rPr>
        <w:t xml:space="preserve">B. 10%-30%                </w:t>
      </w:r>
    </w:p>
    <w:p w14:paraId="355FEB67">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asciiTheme="minorEastAsia" w:hAnsiTheme="minorEastAsia"/>
        </w:rPr>
        <w:t xml:space="preserve">C. 30%-50%                </w:t>
      </w:r>
    </w:p>
    <w:p w14:paraId="3BD6ACFA">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D. 超过50%</w:t>
      </w:r>
      <w:r>
        <w:rPr>
          <w:rFonts w:asciiTheme="minorEastAsia" w:hAnsiTheme="minorEastAsia"/>
        </w:rPr>
        <w:t xml:space="preserve">             </w:t>
      </w:r>
      <w:r>
        <w:rPr>
          <w:rFonts w:asciiTheme="minorEastAsia" w:hAnsiTheme="minorEastAsia"/>
        </w:rPr>
        <w:tab/>
      </w:r>
      <w:r>
        <w:rPr>
          <w:rFonts w:hint="eastAsia" w:asciiTheme="minorEastAsia" w:hAnsiTheme="minorEastAsia"/>
        </w:rPr>
        <w:t xml:space="preserve">  </w:t>
      </w:r>
    </w:p>
    <w:p w14:paraId="35B6D580">
      <w:pPr>
        <w:rPr>
          <w:rFonts w:asciiTheme="minorEastAsia" w:hAnsiTheme="minorEastAsia"/>
          <w:b/>
        </w:rPr>
      </w:pPr>
      <w:r>
        <w:rPr>
          <w:rFonts w:hint="eastAsia" w:asciiTheme="minorEastAsia" w:hAnsiTheme="minorEastAsia"/>
          <w:b/>
        </w:rPr>
        <w:t>18、假设有两种不同的投资：投资A预期获得5%的收益，有可能承担非常小的损失；投资B预期获得20%的收益，但有可能面临25%甚至更高的亏损。您将您的投资资产分配为：</w:t>
      </w:r>
    </w:p>
    <w:p w14:paraId="422971CE">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A．全部投资于A</w:t>
      </w:r>
      <w:r>
        <w:rPr>
          <w:rFonts w:asciiTheme="minorEastAsia" w:hAnsiTheme="minorEastAsia"/>
        </w:rPr>
        <w:t xml:space="preserve">         </w:t>
      </w:r>
      <w:r>
        <w:rPr>
          <w:rFonts w:hint="eastAsia" w:asciiTheme="minorEastAsia" w:hAnsiTheme="minorEastAsia"/>
        </w:rPr>
        <w:t xml:space="preserve"> </w:t>
      </w:r>
      <w:r>
        <w:rPr>
          <w:rFonts w:hint="eastAsia" w:asciiTheme="minorEastAsia" w:hAnsiTheme="minorEastAsia"/>
        </w:rPr>
        <w:tab/>
      </w:r>
    </w:p>
    <w:p w14:paraId="4AFFD1AA">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B．大部分投资于A</w:t>
      </w:r>
      <w:r>
        <w:rPr>
          <w:rFonts w:asciiTheme="minorEastAsia" w:hAnsiTheme="minorEastAsia"/>
        </w:rPr>
        <w:t xml:space="preserve">        </w:t>
      </w:r>
      <w:r>
        <w:rPr>
          <w:rFonts w:hint="eastAsia" w:asciiTheme="minorEastAsia" w:hAnsiTheme="minorEastAsia"/>
        </w:rPr>
        <w:tab/>
      </w:r>
    </w:p>
    <w:p w14:paraId="531B3AD4">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C．两种投资各一半     </w:t>
      </w:r>
      <w:r>
        <w:rPr>
          <w:rFonts w:hint="eastAsia" w:asciiTheme="minorEastAsia" w:hAnsiTheme="minorEastAsia"/>
        </w:rPr>
        <w:tab/>
      </w:r>
      <w:r>
        <w:rPr>
          <w:rFonts w:hint="eastAsia" w:asciiTheme="minorEastAsia" w:hAnsiTheme="minorEastAsia"/>
        </w:rPr>
        <w:tab/>
      </w:r>
    </w:p>
    <w:p w14:paraId="56ACA936">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D．大部分投资于B</w:t>
      </w:r>
      <w:r>
        <w:rPr>
          <w:rFonts w:asciiTheme="minorEastAsia" w:hAnsiTheme="minorEastAsia"/>
        </w:rPr>
        <w:t xml:space="preserve">        </w:t>
      </w:r>
      <w:r>
        <w:rPr>
          <w:rFonts w:hint="eastAsia" w:asciiTheme="minorEastAsia" w:hAnsiTheme="minorEastAsia"/>
        </w:rPr>
        <w:tab/>
      </w:r>
    </w:p>
    <w:p w14:paraId="38E4606C">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E．全部投资于B</w:t>
      </w:r>
      <w:r>
        <w:rPr>
          <w:rFonts w:asciiTheme="minorEastAsia" w:hAnsiTheme="minorEastAsia"/>
        </w:rPr>
        <w:t xml:space="preserve">          </w:t>
      </w:r>
      <w:r>
        <w:rPr>
          <w:rFonts w:hint="eastAsia" w:asciiTheme="minorEastAsia" w:hAnsiTheme="minorEastAsia"/>
        </w:rPr>
        <w:tab/>
      </w:r>
    </w:p>
    <w:p w14:paraId="2C53E6FA">
      <w:pPr>
        <w:rPr>
          <w:rFonts w:asciiTheme="minorEastAsia" w:hAnsiTheme="minorEastAsia"/>
          <w:b/>
        </w:rPr>
      </w:pPr>
      <w:r>
        <w:rPr>
          <w:rFonts w:hint="eastAsia" w:asciiTheme="minorEastAsia" w:hAnsiTheme="minorEastAsia"/>
          <w:b/>
        </w:rPr>
        <w:t>19、贵单位参与金融产品投资的主要目的是什么：</w:t>
      </w:r>
    </w:p>
    <w:p w14:paraId="29D0D332">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A. 闲置资金保值增值                  </w:t>
      </w:r>
    </w:p>
    <w:p w14:paraId="4B42FEDA">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B. 获取主营业务以外的投资收益        </w:t>
      </w:r>
    </w:p>
    <w:p w14:paraId="6437DB4B">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C. 现货套期保值、对冲主营业务风险    </w:t>
      </w:r>
    </w:p>
    <w:p w14:paraId="131BE45D">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D. 减持已持有的股票                  </w:t>
      </w:r>
    </w:p>
    <w:p w14:paraId="706E7F34">
      <w:pPr>
        <w:rPr>
          <w:rFonts w:asciiTheme="minorEastAsia" w:hAnsiTheme="minorEastAsia"/>
        </w:rPr>
      </w:pPr>
      <w:r>
        <w:rPr>
          <w:rFonts w:hint="eastAsia" w:asciiTheme="minorEastAsia" w:hAnsiTheme="minorEastAsia"/>
          <w:b/>
        </w:rPr>
        <w:t>20、贵公司的诚信记录为：</w:t>
      </w:r>
    </w:p>
    <w:p w14:paraId="5A12D451">
      <w:pPr>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  A.信用记录良好，无任何不良记录</w:t>
      </w:r>
    </w:p>
    <w:p w14:paraId="1F680CF5">
      <w:pPr>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  B.信用记录基本良好，少量轻微的逾期记录，但不影响债务的偿还</w:t>
      </w:r>
    </w:p>
    <w:p w14:paraId="75C5CB32">
      <w:pPr>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  C.信用交易记录有逾期情况，一定程度上影响了债务的正常偿还</w:t>
      </w:r>
    </w:p>
    <w:p w14:paraId="40114635">
      <w:pPr>
        <w:ind w:left="630" w:hanging="630" w:hangingChars="300"/>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  D.存在严重的不良记录，申请人履行债务的意愿或能力存在严重缺陷，以往债务已形成事实风险。</w:t>
      </w:r>
    </w:p>
    <w:p w14:paraId="1DA3145B">
      <w:pPr>
        <w:rPr>
          <w:b/>
        </w:rPr>
      </w:pPr>
    </w:p>
    <w:p w14:paraId="606E4D64">
      <w:pPr>
        <w:spacing w:line="360" w:lineRule="auto"/>
        <w:rPr>
          <w:rFonts w:ascii="宋体" w:hAnsi="宋体" w:eastAsia="宋体"/>
          <w:color w:val="000000" w:themeColor="text1"/>
          <w14:textFill>
            <w14:solidFill>
              <w14:schemeClr w14:val="tx1"/>
            </w14:solidFill>
          </w14:textFill>
        </w:rPr>
      </w:pPr>
      <w:r>
        <w:rPr>
          <w:rFonts w:hint="eastAsia"/>
          <w:b/>
        </w:rPr>
        <w:t>本机构已经了解并愿意遵守国家有关证券市场管理的法律、法规、规章及相关业务规则，本机构在此郑重承诺以上填写的内容真实、准确、完整。若本机构提供的信息发生任何重大变化，本机构将及时书面通知贵公司。</w:t>
      </w:r>
    </w:p>
    <w:p w14:paraId="303C430A">
      <w:pPr>
        <w:rPr>
          <w:rFonts w:ascii="宋体" w:hAnsi="宋体" w:eastAsia="宋体" w:cs="宋体"/>
          <w:color w:val="000000"/>
          <w:kern w:val="0"/>
          <w:szCs w:val="21"/>
        </w:rPr>
      </w:pPr>
    </w:p>
    <w:p w14:paraId="675EE5A4">
      <w:pPr>
        <w:spacing w:line="360" w:lineRule="auto"/>
        <w:rPr>
          <w:b/>
          <w:color w:val="000000" w:themeColor="text1"/>
          <w:szCs w:val="21"/>
          <w14:textFill>
            <w14:solidFill>
              <w14:schemeClr w14:val="tx1"/>
            </w14:solidFill>
          </w14:textFill>
        </w:rPr>
      </w:pPr>
      <w:r>
        <w:rPr>
          <w:rFonts w:hint="eastAsia" w:ascii="宋体" w:hAnsi="宋体" w:eastAsia="宋体" w:cs="宋体"/>
          <w:b/>
          <w:color w:val="000000"/>
          <w:kern w:val="0"/>
          <w:szCs w:val="21"/>
        </w:rPr>
        <w:t>□本单位同意沿用本问卷，如本单位的投资目的、投资期限、财务状况及风险承受水平等信息发生重大变化将及时联系攀赢基金重新提供问卷。</w:t>
      </w:r>
    </w:p>
    <w:p w14:paraId="287602F1">
      <w:pPr>
        <w:rPr>
          <w:b/>
          <w:color w:val="000000" w:themeColor="text1"/>
          <w14:textFill>
            <w14:solidFill>
              <w14:schemeClr w14:val="tx1"/>
            </w14:solidFill>
          </w14:textFill>
        </w:rPr>
      </w:pPr>
    </w:p>
    <w:p w14:paraId="1AD7D0A3">
      <w:pPr>
        <w:rPr>
          <w:color w:val="000000" w:themeColor="text1"/>
          <w14:textFill>
            <w14:solidFill>
              <w14:schemeClr w14:val="tx1"/>
            </w14:solidFill>
          </w14:textFill>
        </w:rPr>
      </w:pP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56FB3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8" w:hRule="atLeast"/>
        </w:trPr>
        <w:tc>
          <w:tcPr>
            <w:tcW w:w="4261" w:type="dxa"/>
          </w:tcPr>
          <w:p w14:paraId="28BB6E30">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机构投资者（预留印鉴章）：</w:t>
            </w:r>
          </w:p>
          <w:p w14:paraId="692B5BC9">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授权经办人签字：</w:t>
            </w:r>
          </w:p>
        </w:tc>
        <w:tc>
          <w:tcPr>
            <w:tcW w:w="4261" w:type="dxa"/>
          </w:tcPr>
          <w:p w14:paraId="62765574">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销售机构盖章：</w:t>
            </w:r>
          </w:p>
          <w:p w14:paraId="3F6D163F">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受理日期：</w:t>
            </w:r>
          </w:p>
        </w:tc>
      </w:tr>
    </w:tbl>
    <w:p w14:paraId="1B718EB1">
      <w:pPr>
        <w:spacing w:line="480" w:lineRule="auto"/>
        <w:rPr>
          <w:color w:val="000000" w:themeColor="text1"/>
          <w14:textFill>
            <w14:solidFill>
              <w14:schemeClr w14:val="tx1"/>
            </w14:solidFill>
          </w14:textFill>
        </w:rPr>
      </w:pPr>
    </w:p>
    <w:p w14:paraId="798D578D">
      <w:pPr>
        <w:spacing w:line="48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              </w:t>
      </w:r>
    </w:p>
    <w:sectPr>
      <w:headerReference r:id="rId3" w:type="default"/>
      <w:pgSz w:w="11906" w:h="16838"/>
      <w:pgMar w:top="1440" w:right="1800" w:bottom="1440" w:left="1800" w:header="567"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E03EE">
    <w:pPr>
      <w:pStyle w:val="5"/>
      <w:ind w:left="6120" w:hanging="6120" w:hangingChars="3400"/>
      <w:jc w:val="left"/>
      <w:rPr>
        <w:rFonts w:hint="eastAsia"/>
      </w:rPr>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t xml:space="preserve">                                                                                                  </w:t>
    </w:r>
    <w:r>
      <w:rPr>
        <w:rFonts w:hint="eastAsia"/>
      </w:rPr>
      <w:t>上海攀赢基金销售有限公司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B83054"/>
    <w:multiLevelType w:val="multilevel"/>
    <w:tmpl w:val="1EB83054"/>
    <w:lvl w:ilvl="0" w:tentative="0">
      <w:start w:val="0"/>
      <w:numFmt w:val="bullet"/>
      <w:lvlText w:val="□"/>
      <w:lvlJc w:val="left"/>
      <w:pPr>
        <w:ind w:left="360" w:hanging="360"/>
      </w:pPr>
      <w:rPr>
        <w:rFonts w:hint="eastAsia" w:ascii="宋体" w:hAnsi="宋体" w:eastAsia="宋体" w:cstheme="minorBidi"/>
        <w:b w:val="0"/>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6A191D19"/>
    <w:multiLevelType w:val="multilevel"/>
    <w:tmpl w:val="6A191D1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JlNDgzOTdlNjk1ZGMxYzUzMWRlYjgyZjdmOWU2YTAifQ=="/>
  </w:docVars>
  <w:rsids>
    <w:rsidRoot w:val="00BD0127"/>
    <w:rsid w:val="000008E3"/>
    <w:rsid w:val="00003551"/>
    <w:rsid w:val="0001123F"/>
    <w:rsid w:val="00014516"/>
    <w:rsid w:val="00027484"/>
    <w:rsid w:val="00032E78"/>
    <w:rsid w:val="000359D8"/>
    <w:rsid w:val="000374C6"/>
    <w:rsid w:val="0006110E"/>
    <w:rsid w:val="00067B73"/>
    <w:rsid w:val="000D5E08"/>
    <w:rsid w:val="000D653F"/>
    <w:rsid w:val="000F2AE9"/>
    <w:rsid w:val="00124649"/>
    <w:rsid w:val="001261B8"/>
    <w:rsid w:val="00145DA1"/>
    <w:rsid w:val="0015330B"/>
    <w:rsid w:val="0016283B"/>
    <w:rsid w:val="001673BB"/>
    <w:rsid w:val="00180531"/>
    <w:rsid w:val="001814C7"/>
    <w:rsid w:val="00183069"/>
    <w:rsid w:val="001A6E6A"/>
    <w:rsid w:val="001D2285"/>
    <w:rsid w:val="001D2651"/>
    <w:rsid w:val="001E7813"/>
    <w:rsid w:val="0021541B"/>
    <w:rsid w:val="00233BB0"/>
    <w:rsid w:val="00291C53"/>
    <w:rsid w:val="002D5DAD"/>
    <w:rsid w:val="002E49E9"/>
    <w:rsid w:val="00303C22"/>
    <w:rsid w:val="00313EED"/>
    <w:rsid w:val="0032000E"/>
    <w:rsid w:val="00347A87"/>
    <w:rsid w:val="00355FBB"/>
    <w:rsid w:val="0038006B"/>
    <w:rsid w:val="00390203"/>
    <w:rsid w:val="003C6925"/>
    <w:rsid w:val="003C69FD"/>
    <w:rsid w:val="003D2B20"/>
    <w:rsid w:val="003E4CB0"/>
    <w:rsid w:val="003F348C"/>
    <w:rsid w:val="0040071A"/>
    <w:rsid w:val="00401EE7"/>
    <w:rsid w:val="004020A4"/>
    <w:rsid w:val="00413FD8"/>
    <w:rsid w:val="00427429"/>
    <w:rsid w:val="00430215"/>
    <w:rsid w:val="00432625"/>
    <w:rsid w:val="004404F7"/>
    <w:rsid w:val="00440B23"/>
    <w:rsid w:val="0044550C"/>
    <w:rsid w:val="004627A6"/>
    <w:rsid w:val="004747A8"/>
    <w:rsid w:val="00476A9B"/>
    <w:rsid w:val="00482A42"/>
    <w:rsid w:val="00485E02"/>
    <w:rsid w:val="004967DD"/>
    <w:rsid w:val="004974B7"/>
    <w:rsid w:val="004C438B"/>
    <w:rsid w:val="004C5911"/>
    <w:rsid w:val="004C6545"/>
    <w:rsid w:val="004D6181"/>
    <w:rsid w:val="00507F96"/>
    <w:rsid w:val="0051290B"/>
    <w:rsid w:val="00512AE9"/>
    <w:rsid w:val="00520C9F"/>
    <w:rsid w:val="00575C1A"/>
    <w:rsid w:val="00595776"/>
    <w:rsid w:val="005D6B61"/>
    <w:rsid w:val="00610077"/>
    <w:rsid w:val="00625466"/>
    <w:rsid w:val="00640D72"/>
    <w:rsid w:val="006446E8"/>
    <w:rsid w:val="006545F6"/>
    <w:rsid w:val="00674C29"/>
    <w:rsid w:val="0069535A"/>
    <w:rsid w:val="006B290B"/>
    <w:rsid w:val="0071350B"/>
    <w:rsid w:val="00720D60"/>
    <w:rsid w:val="00723822"/>
    <w:rsid w:val="00731CE6"/>
    <w:rsid w:val="00734493"/>
    <w:rsid w:val="00792E70"/>
    <w:rsid w:val="00797995"/>
    <w:rsid w:val="007A5A90"/>
    <w:rsid w:val="007A615D"/>
    <w:rsid w:val="007B5B4C"/>
    <w:rsid w:val="007C412F"/>
    <w:rsid w:val="007C47E6"/>
    <w:rsid w:val="007C4DE9"/>
    <w:rsid w:val="007C740F"/>
    <w:rsid w:val="007E0926"/>
    <w:rsid w:val="008073CE"/>
    <w:rsid w:val="00816395"/>
    <w:rsid w:val="00821501"/>
    <w:rsid w:val="008218CD"/>
    <w:rsid w:val="00825126"/>
    <w:rsid w:val="00826E2C"/>
    <w:rsid w:val="00836E02"/>
    <w:rsid w:val="008479D4"/>
    <w:rsid w:val="00863E61"/>
    <w:rsid w:val="0089070B"/>
    <w:rsid w:val="008A781D"/>
    <w:rsid w:val="008B43C8"/>
    <w:rsid w:val="008C2686"/>
    <w:rsid w:val="008C3058"/>
    <w:rsid w:val="008D2202"/>
    <w:rsid w:val="008E5961"/>
    <w:rsid w:val="008F16D2"/>
    <w:rsid w:val="008F6DB0"/>
    <w:rsid w:val="00910E42"/>
    <w:rsid w:val="00916560"/>
    <w:rsid w:val="00923838"/>
    <w:rsid w:val="00934541"/>
    <w:rsid w:val="009438F5"/>
    <w:rsid w:val="00954ABA"/>
    <w:rsid w:val="00963C49"/>
    <w:rsid w:val="00973236"/>
    <w:rsid w:val="00973B1B"/>
    <w:rsid w:val="00996062"/>
    <w:rsid w:val="009B24BC"/>
    <w:rsid w:val="009D0B73"/>
    <w:rsid w:val="009F509A"/>
    <w:rsid w:val="009F62C6"/>
    <w:rsid w:val="00A04DB9"/>
    <w:rsid w:val="00A13F01"/>
    <w:rsid w:val="00A17D0D"/>
    <w:rsid w:val="00A76727"/>
    <w:rsid w:val="00A854B1"/>
    <w:rsid w:val="00A90991"/>
    <w:rsid w:val="00A9384F"/>
    <w:rsid w:val="00A942D6"/>
    <w:rsid w:val="00AB2CCC"/>
    <w:rsid w:val="00AC4EF6"/>
    <w:rsid w:val="00AC78E7"/>
    <w:rsid w:val="00AF00C2"/>
    <w:rsid w:val="00B12454"/>
    <w:rsid w:val="00B24143"/>
    <w:rsid w:val="00B364BB"/>
    <w:rsid w:val="00B4343B"/>
    <w:rsid w:val="00B51CBB"/>
    <w:rsid w:val="00B5384F"/>
    <w:rsid w:val="00B76EFF"/>
    <w:rsid w:val="00B8746A"/>
    <w:rsid w:val="00B87DA0"/>
    <w:rsid w:val="00B94D0B"/>
    <w:rsid w:val="00BB4594"/>
    <w:rsid w:val="00BB5AC0"/>
    <w:rsid w:val="00BD0127"/>
    <w:rsid w:val="00BE41D4"/>
    <w:rsid w:val="00C07DAA"/>
    <w:rsid w:val="00C22611"/>
    <w:rsid w:val="00C24B43"/>
    <w:rsid w:val="00C30EAC"/>
    <w:rsid w:val="00C35D12"/>
    <w:rsid w:val="00C43FC8"/>
    <w:rsid w:val="00C7247B"/>
    <w:rsid w:val="00C831C3"/>
    <w:rsid w:val="00C85E82"/>
    <w:rsid w:val="00C90AD2"/>
    <w:rsid w:val="00CA1512"/>
    <w:rsid w:val="00CB1C2F"/>
    <w:rsid w:val="00CC33FA"/>
    <w:rsid w:val="00CD12EA"/>
    <w:rsid w:val="00CD6809"/>
    <w:rsid w:val="00CD76DD"/>
    <w:rsid w:val="00D03565"/>
    <w:rsid w:val="00D0453D"/>
    <w:rsid w:val="00D24096"/>
    <w:rsid w:val="00D6271B"/>
    <w:rsid w:val="00D87C5E"/>
    <w:rsid w:val="00DC6738"/>
    <w:rsid w:val="00DD6BAB"/>
    <w:rsid w:val="00DD74BD"/>
    <w:rsid w:val="00E369F8"/>
    <w:rsid w:val="00E56439"/>
    <w:rsid w:val="00E7100A"/>
    <w:rsid w:val="00E87765"/>
    <w:rsid w:val="00EB0BD3"/>
    <w:rsid w:val="00EB7522"/>
    <w:rsid w:val="00EC2631"/>
    <w:rsid w:val="00ED11F5"/>
    <w:rsid w:val="00ED5DC8"/>
    <w:rsid w:val="00ED744F"/>
    <w:rsid w:val="00EE09C0"/>
    <w:rsid w:val="00EE63B9"/>
    <w:rsid w:val="00F03571"/>
    <w:rsid w:val="00F037A6"/>
    <w:rsid w:val="00F066E2"/>
    <w:rsid w:val="00F137A7"/>
    <w:rsid w:val="00F14C2E"/>
    <w:rsid w:val="00F456F2"/>
    <w:rsid w:val="00F52D50"/>
    <w:rsid w:val="00F579EA"/>
    <w:rsid w:val="00F74C33"/>
    <w:rsid w:val="00F82923"/>
    <w:rsid w:val="00F82EF0"/>
    <w:rsid w:val="00F9644C"/>
    <w:rsid w:val="00FA01BA"/>
    <w:rsid w:val="00FA324D"/>
    <w:rsid w:val="00FA7CAE"/>
    <w:rsid w:val="00FD0598"/>
    <w:rsid w:val="00FE4E62"/>
    <w:rsid w:val="78125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5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semiHidden/>
    <w:unhideWhenUsed/>
    <w:uiPriority w:val="99"/>
    <w:pPr>
      <w:jc w:val="left"/>
    </w:pPr>
  </w:style>
  <w:style w:type="paragraph" w:styleId="3">
    <w:name w:val="Balloon Text"/>
    <w:basedOn w:val="1"/>
    <w:link w:val="13"/>
    <w:semiHidden/>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7"/>
    <w:semiHidden/>
    <w:unhideWhenUsed/>
    <w:qFormat/>
    <w:uiPriority w:val="99"/>
    <w:rPr>
      <w:b/>
      <w:bCs/>
    </w:rPr>
  </w:style>
  <w:style w:type="table" w:styleId="8">
    <w:name w:val="Table Grid"/>
    <w:basedOn w:val="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semiHidden/>
    <w:unhideWhenUsed/>
    <w:qFormat/>
    <w:uiPriority w:val="99"/>
    <w:rPr>
      <w:sz w:val="21"/>
      <w:szCs w:val="21"/>
    </w:r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character" w:customStyle="1" w:styleId="13">
    <w:name w:val="批注框文本 字符"/>
    <w:basedOn w:val="9"/>
    <w:link w:val="3"/>
    <w:semiHidden/>
    <w:uiPriority w:val="99"/>
    <w:rPr>
      <w:sz w:val="18"/>
      <w:szCs w:val="18"/>
    </w:rPr>
  </w:style>
  <w:style w:type="paragraph" w:customStyle="1" w:styleId="14">
    <w:name w:val="Default"/>
    <w:qFormat/>
    <w:uiPriority w:val="0"/>
    <w:pPr>
      <w:widowControl w:val="0"/>
      <w:autoSpaceDE w:val="0"/>
      <w:autoSpaceDN w:val="0"/>
      <w:adjustRightInd w:val="0"/>
      <w:jc w:val="left"/>
    </w:pPr>
    <w:rPr>
      <w:rFonts w:ascii="仿宋" w:eastAsia="仿宋" w:cs="仿宋" w:hAnsiTheme="minorHAnsi"/>
      <w:color w:val="000000"/>
      <w:kern w:val="0"/>
      <w:sz w:val="24"/>
      <w:szCs w:val="24"/>
      <w:lang w:val="en-US" w:eastAsia="zh-CN" w:bidi="ar-SA"/>
    </w:rPr>
  </w:style>
  <w:style w:type="paragraph" w:styleId="15">
    <w:name w:val="List Paragraph"/>
    <w:basedOn w:val="1"/>
    <w:qFormat/>
    <w:uiPriority w:val="34"/>
    <w:pPr>
      <w:ind w:firstLine="420" w:firstLineChars="200"/>
    </w:pPr>
  </w:style>
  <w:style w:type="character" w:customStyle="1" w:styleId="16">
    <w:name w:val="批注文字 字符"/>
    <w:basedOn w:val="9"/>
    <w:link w:val="2"/>
    <w:semiHidden/>
    <w:uiPriority w:val="99"/>
  </w:style>
  <w:style w:type="character" w:customStyle="1" w:styleId="17">
    <w:name w:val="批注主题 字符"/>
    <w:basedOn w:val="16"/>
    <w:link w:val="6"/>
    <w:semiHidden/>
    <w:uiPriority w:val="99"/>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3F38D-9430-4EE0-9BAD-15025A437CB4}">
  <ds:schemaRefs/>
</ds:datastoreItem>
</file>

<file path=docProps/app.xml><?xml version="1.0" encoding="utf-8"?>
<Properties xmlns="http://schemas.openxmlformats.org/officeDocument/2006/extended-properties" xmlns:vt="http://schemas.openxmlformats.org/officeDocument/2006/docPropsVTypes">
  <Template>Normal.dotm</Template>
  <Company>hsfund</Company>
  <Pages>4</Pages>
  <Words>2456</Words>
  <Characters>2635</Characters>
  <Lines>30</Lines>
  <Paragraphs>8</Paragraphs>
  <TotalTime>0</TotalTime>
  <ScaleCrop>false</ScaleCrop>
  <LinksUpToDate>false</LinksUpToDate>
  <CharactersWithSpaces>4206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2017-07-03T06:58:00Z</dcterms:created>
  <dc:creator>zhangjx</dc:creator>
  <cp:lastModifiedBy>lihx</cp:lastModifiedBy>
  <cp:lastPrinted>2017-07-05T02:39:00Z</cp:lastPrinted>
  <dcterms:modified xsi:type="dcterms:W3CDTF">2024-08-26T02:27:22Z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9E37CC5F2DA944A98B753B644DA67382_12</vt:lpwstr>
  </property>
</Properties>
</file>